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6CAB" w14:textId="7F2DA043" w:rsidR="00E45C23" w:rsidRPr="007B69AA" w:rsidRDefault="00D14319">
      <w:pPr>
        <w:rPr>
          <w:sz w:val="28"/>
          <w:szCs w:val="28"/>
        </w:rPr>
      </w:pPr>
      <w:r w:rsidRPr="007B69AA">
        <w:rPr>
          <w:sz w:val="28"/>
          <w:szCs w:val="28"/>
        </w:rPr>
        <w:t>HHM Webinar Newsletter (Spanish)</w:t>
      </w:r>
    </w:p>
    <w:p w14:paraId="622047DB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</w:p>
    <w:p w14:paraId="1BCF2D9B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</w:p>
    <w:p w14:paraId="514F00AB" w14:textId="0B717CD8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proofErr w:type="spellStart"/>
      <w:r>
        <w:rPr>
          <w:rFonts w:ascii="Arial-BoldMT" w:hAnsi="Arial-BoldMT" w:cs="Arial-BoldMT"/>
          <w:b/>
          <w:bCs/>
          <w:color w:val="000000"/>
          <w:kern w:val="0"/>
        </w:rPr>
        <w:t>Webinario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</w:rPr>
        <w:t>en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</w:rPr>
        <w:t xml:space="preserve"> vivo y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</w:rPr>
        <w:t>en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</w:rPr>
        <w:t>español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</w:rPr>
        <w:t>sobre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</w:rPr>
        <w:t xml:space="preserve"> la</w:t>
      </w:r>
    </w:p>
    <w:p w14:paraId="5ED98AE4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proofErr w:type="spellStart"/>
      <w:r>
        <w:rPr>
          <w:rFonts w:ascii="Arial-BoldMT" w:hAnsi="Arial-BoldMT" w:cs="Arial-BoldMT"/>
          <w:b/>
          <w:bCs/>
          <w:color w:val="000000"/>
          <w:kern w:val="0"/>
        </w:rPr>
        <w:t>volatilidad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</w:rPr>
        <w:t xml:space="preserve"> del mercado</w:t>
      </w:r>
    </w:p>
    <w:p w14:paraId="53C255EF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</w:p>
    <w:p w14:paraId="5AB246CF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¿Le </w:t>
      </w:r>
      <w:proofErr w:type="spellStart"/>
      <w:r>
        <w:rPr>
          <w:rFonts w:ascii="ArialMT" w:hAnsi="ArialMT" w:cs="ArialMT"/>
          <w:color w:val="000000"/>
          <w:kern w:val="0"/>
        </w:rPr>
        <w:t>gustaría</w:t>
      </w:r>
      <w:proofErr w:type="spellEnd"/>
      <w:r>
        <w:rPr>
          <w:rFonts w:ascii="ArialMT" w:hAnsi="ArialMT" w:cs="ArialMT"/>
          <w:color w:val="000000"/>
          <w:kern w:val="0"/>
        </w:rPr>
        <w:t xml:space="preserve"> </w:t>
      </w:r>
      <w:proofErr w:type="spellStart"/>
      <w:r>
        <w:rPr>
          <w:rFonts w:ascii="ArialMT" w:hAnsi="ArialMT" w:cs="ArialMT"/>
          <w:color w:val="000000"/>
          <w:kern w:val="0"/>
        </w:rPr>
        <w:t>entender</w:t>
      </w:r>
      <w:proofErr w:type="spellEnd"/>
      <w:r>
        <w:rPr>
          <w:rFonts w:ascii="ArialMT" w:hAnsi="ArialMT" w:cs="ArialMT"/>
          <w:color w:val="000000"/>
          <w:kern w:val="0"/>
        </w:rPr>
        <w:t xml:space="preserve"> </w:t>
      </w:r>
      <w:proofErr w:type="spellStart"/>
      <w:r>
        <w:rPr>
          <w:rFonts w:ascii="ArialMT" w:hAnsi="ArialMT" w:cs="ArialMT"/>
          <w:color w:val="000000"/>
          <w:kern w:val="0"/>
        </w:rPr>
        <w:t>mejor</w:t>
      </w:r>
      <w:proofErr w:type="spellEnd"/>
      <w:r>
        <w:rPr>
          <w:rFonts w:ascii="ArialMT" w:hAnsi="ArialMT" w:cs="ArialMT"/>
          <w:color w:val="000000"/>
          <w:kern w:val="0"/>
        </w:rPr>
        <w:t xml:space="preserve"> </w:t>
      </w:r>
      <w:proofErr w:type="spellStart"/>
      <w:r>
        <w:rPr>
          <w:rFonts w:ascii="ArialMT" w:hAnsi="ArialMT" w:cs="ArialMT"/>
          <w:color w:val="000000"/>
          <w:kern w:val="0"/>
        </w:rPr>
        <w:t>cómo</w:t>
      </w:r>
      <w:proofErr w:type="spellEnd"/>
      <w:r>
        <w:rPr>
          <w:rFonts w:ascii="ArialMT" w:hAnsi="ArialMT" w:cs="ArialMT"/>
          <w:color w:val="000000"/>
          <w:kern w:val="0"/>
        </w:rPr>
        <w:t xml:space="preserve"> la </w:t>
      </w:r>
      <w:proofErr w:type="spellStart"/>
      <w:r>
        <w:rPr>
          <w:rFonts w:ascii="ArialMT" w:hAnsi="ArialMT" w:cs="ArialMT"/>
          <w:color w:val="000000"/>
          <w:kern w:val="0"/>
        </w:rPr>
        <w:t>volatilidad</w:t>
      </w:r>
      <w:proofErr w:type="spellEnd"/>
      <w:r>
        <w:rPr>
          <w:rFonts w:ascii="ArialMT" w:hAnsi="ArialMT" w:cs="ArialMT"/>
          <w:color w:val="000000"/>
          <w:kern w:val="0"/>
        </w:rPr>
        <w:t xml:space="preserve"> del</w:t>
      </w:r>
    </w:p>
    <w:p w14:paraId="04536851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mercado </w:t>
      </w:r>
      <w:proofErr w:type="spellStart"/>
      <w:r>
        <w:rPr>
          <w:rFonts w:ascii="ArialMT" w:hAnsi="ArialMT" w:cs="ArialMT"/>
          <w:color w:val="000000"/>
          <w:kern w:val="0"/>
        </w:rPr>
        <w:t>puede</w:t>
      </w:r>
      <w:proofErr w:type="spellEnd"/>
      <w:r>
        <w:rPr>
          <w:rFonts w:ascii="ArialMT" w:hAnsi="ArialMT" w:cs="ArialMT"/>
          <w:color w:val="000000"/>
          <w:kern w:val="0"/>
        </w:rPr>
        <w:t xml:space="preserve"> </w:t>
      </w:r>
      <w:proofErr w:type="spellStart"/>
      <w:r>
        <w:rPr>
          <w:rFonts w:ascii="ArialMT" w:hAnsi="ArialMT" w:cs="ArialMT"/>
          <w:color w:val="000000"/>
          <w:kern w:val="0"/>
        </w:rPr>
        <w:t>afectar</w:t>
      </w:r>
      <w:proofErr w:type="spellEnd"/>
      <w:r>
        <w:rPr>
          <w:rFonts w:ascii="ArialMT" w:hAnsi="ArialMT" w:cs="ArialMT"/>
          <w:color w:val="000000"/>
          <w:kern w:val="0"/>
        </w:rPr>
        <w:t xml:space="preserve"> a </w:t>
      </w:r>
      <w:proofErr w:type="spellStart"/>
      <w:r>
        <w:rPr>
          <w:rFonts w:ascii="ArialMT" w:hAnsi="ArialMT" w:cs="ArialMT"/>
          <w:color w:val="000000"/>
          <w:kern w:val="0"/>
        </w:rPr>
        <w:t>su</w:t>
      </w:r>
      <w:proofErr w:type="spellEnd"/>
      <w:r>
        <w:rPr>
          <w:rFonts w:ascii="ArialMT" w:hAnsi="ArialMT" w:cs="ArialMT"/>
          <w:color w:val="000000"/>
          <w:kern w:val="0"/>
        </w:rPr>
        <w:t xml:space="preserve"> dinero? </w:t>
      </w:r>
      <w:proofErr w:type="spellStart"/>
      <w:r>
        <w:rPr>
          <w:rFonts w:ascii="ArialMT" w:hAnsi="ArialMT" w:cs="ArialMT"/>
          <w:color w:val="000000"/>
          <w:kern w:val="0"/>
        </w:rPr>
        <w:t>Acompáñenos</w:t>
      </w:r>
      <w:proofErr w:type="spellEnd"/>
    </w:p>
    <w:p w14:paraId="0ED59B3C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proofErr w:type="spellStart"/>
      <w:r>
        <w:rPr>
          <w:rFonts w:ascii="ArialMT" w:hAnsi="ArialMT" w:cs="ArialMT"/>
          <w:color w:val="000000"/>
          <w:kern w:val="0"/>
        </w:rPr>
        <w:t>en</w:t>
      </w:r>
      <w:proofErr w:type="spellEnd"/>
      <w:r>
        <w:rPr>
          <w:rFonts w:ascii="ArialMT" w:hAnsi="ArialMT" w:cs="ArialMT"/>
          <w:color w:val="000000"/>
          <w:kern w:val="0"/>
        </w:rPr>
        <w:t xml:space="preserve"> un </w:t>
      </w:r>
      <w:proofErr w:type="spellStart"/>
      <w:r>
        <w:rPr>
          <w:rFonts w:ascii="ArialMT" w:hAnsi="ArialMT" w:cs="ArialMT"/>
          <w:color w:val="000000"/>
          <w:kern w:val="0"/>
        </w:rPr>
        <w:t>webinario</w:t>
      </w:r>
      <w:proofErr w:type="spellEnd"/>
      <w:r>
        <w:rPr>
          <w:rFonts w:ascii="ArialMT" w:hAnsi="ArialMT" w:cs="ArialMT"/>
          <w:color w:val="000000"/>
          <w:kern w:val="0"/>
        </w:rPr>
        <w:t xml:space="preserve"> En Vivo </w:t>
      </w:r>
      <w:proofErr w:type="spellStart"/>
      <w:r>
        <w:rPr>
          <w:rFonts w:ascii="ArialMT" w:hAnsi="ArialMT" w:cs="ArialMT"/>
          <w:color w:val="000000"/>
          <w:kern w:val="0"/>
        </w:rPr>
        <w:t>en</w:t>
      </w:r>
      <w:proofErr w:type="spellEnd"/>
      <w:r>
        <w:rPr>
          <w:rFonts w:ascii="ArialMT" w:hAnsi="ArialMT" w:cs="ArialMT"/>
          <w:color w:val="000000"/>
          <w:kern w:val="0"/>
        </w:rPr>
        <w:t xml:space="preserve"> </w:t>
      </w:r>
      <w:proofErr w:type="spellStart"/>
      <w:r>
        <w:rPr>
          <w:rFonts w:ascii="ArialMT" w:hAnsi="ArialMT" w:cs="ArialMT"/>
          <w:color w:val="000000"/>
          <w:kern w:val="0"/>
        </w:rPr>
        <w:t>español</w:t>
      </w:r>
      <w:proofErr w:type="spellEnd"/>
      <w:r>
        <w:rPr>
          <w:rFonts w:ascii="ArialMT" w:hAnsi="ArialMT" w:cs="ArialMT"/>
          <w:color w:val="000000"/>
          <w:kern w:val="0"/>
        </w:rPr>
        <w:t xml:space="preserve"> el 1/10 (</w:t>
      </w:r>
      <w:proofErr w:type="spellStart"/>
      <w:r>
        <w:rPr>
          <w:rFonts w:ascii="ArialMT" w:hAnsi="ArialMT" w:cs="ArialMT"/>
          <w:color w:val="000000"/>
          <w:kern w:val="0"/>
        </w:rPr>
        <w:t>mes</w:t>
      </w:r>
      <w:proofErr w:type="spellEnd"/>
      <w:r>
        <w:rPr>
          <w:rFonts w:ascii="ArialMT" w:hAnsi="ArialMT" w:cs="ArialMT"/>
          <w:color w:val="000000"/>
          <w:kern w:val="0"/>
        </w:rPr>
        <w:t>/</w:t>
      </w:r>
    </w:p>
    <w:p w14:paraId="5563F3CC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día) a las 12:00 p. m., hora del Este.</w:t>
      </w:r>
    </w:p>
    <w:p w14:paraId="0FA2BB7A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27BD969B" w14:textId="61FB8977" w:rsidR="00D14319" w:rsidRDefault="007B69AA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557DEF"/>
          <w:kern w:val="0"/>
        </w:rPr>
      </w:pPr>
      <w:hyperlink r:id="rId6" w:history="1">
        <w:proofErr w:type="spellStart"/>
        <w:r w:rsidR="00D14319" w:rsidRPr="007B69AA">
          <w:rPr>
            <w:rStyle w:val="Hyperlink"/>
            <w:rFonts w:ascii="ArialMT" w:hAnsi="ArialMT" w:cs="ArialMT"/>
            <w:kern w:val="0"/>
          </w:rPr>
          <w:t>Regístrese</w:t>
        </w:r>
        <w:proofErr w:type="spellEnd"/>
        <w:r w:rsidR="00D14319" w:rsidRPr="007B69AA">
          <w:rPr>
            <w:rStyle w:val="Hyperlink"/>
            <w:rFonts w:ascii="ArialMT" w:hAnsi="ArialMT" w:cs="ArialMT"/>
            <w:kern w:val="0"/>
          </w:rPr>
          <w:t xml:space="preserve"> hoy </w:t>
        </w:r>
        <w:proofErr w:type="spellStart"/>
        <w:r w:rsidR="00D14319" w:rsidRPr="007B69AA">
          <w:rPr>
            <w:rStyle w:val="Hyperlink"/>
            <w:rFonts w:ascii="ArialMT" w:hAnsi="ArialMT" w:cs="ArialMT"/>
            <w:kern w:val="0"/>
          </w:rPr>
          <w:t>mismo</w:t>
        </w:r>
        <w:proofErr w:type="spellEnd"/>
      </w:hyperlink>
    </w:p>
    <w:p w14:paraId="002BD2A5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557DEF"/>
          <w:kern w:val="0"/>
        </w:rPr>
      </w:pPr>
    </w:p>
    <w:p w14:paraId="2F47742D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</w:pPr>
      <w:proofErr w:type="spellStart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Invertir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conlleva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riesgos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 xml:space="preserve">,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incluido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 xml:space="preserve"> el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riesgo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 xml:space="preserve"> de </w:t>
      </w:r>
      <w:proofErr w:type="spellStart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pérdida</w:t>
      </w:r>
      <w:proofErr w:type="spellEnd"/>
      <w:r>
        <w:rPr>
          <w:rFonts w:ascii="Arial-BoldMT" w:hAnsi="Arial-BoldMT" w:cs="Arial-BoldMT"/>
          <w:b/>
          <w:bCs/>
          <w:color w:val="000000"/>
          <w:kern w:val="0"/>
          <w:sz w:val="14"/>
          <w:szCs w:val="14"/>
        </w:rPr>
        <w:t>.</w:t>
      </w:r>
    </w:p>
    <w:p w14:paraId="6340C134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4"/>
          <w:szCs w:val="14"/>
        </w:rPr>
      </w:pP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NetBenefits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 y el </w:t>
      </w: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logotipo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 de Fidelity Investments son </w:t>
      </w: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marcas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 de </w:t>
      </w: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servicio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registradas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 de FMR</w:t>
      </w:r>
    </w:p>
    <w:p w14:paraId="4640E672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4"/>
          <w:szCs w:val="14"/>
        </w:rPr>
      </w:pPr>
      <w:r>
        <w:rPr>
          <w:rFonts w:ascii="ArialMT" w:hAnsi="ArialMT" w:cs="ArialMT"/>
          <w:color w:val="000000"/>
          <w:kern w:val="0"/>
          <w:sz w:val="14"/>
          <w:szCs w:val="14"/>
        </w:rPr>
        <w:t>LLC.</w:t>
      </w:r>
    </w:p>
    <w:p w14:paraId="42D5753C" w14:textId="4A672082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4"/>
          <w:szCs w:val="14"/>
        </w:rPr>
      </w:pPr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Fidelity Brokerage Services LLC, Member NYSE, </w:t>
      </w:r>
      <w:hyperlink r:id="rId7" w:history="1">
        <w:r w:rsidRPr="00D14319">
          <w:rPr>
            <w:rStyle w:val="Hyperlink"/>
            <w:rFonts w:ascii="ArialMT" w:hAnsi="ArialMT" w:cs="ArialMT"/>
            <w:kern w:val="0"/>
            <w:sz w:val="14"/>
            <w:szCs w:val="14"/>
          </w:rPr>
          <w:t>SIPC</w:t>
        </w:r>
      </w:hyperlink>
      <w:r>
        <w:rPr>
          <w:rFonts w:ascii="ArialMT" w:hAnsi="ArialMT" w:cs="ArialMT"/>
          <w:color w:val="000000"/>
          <w:kern w:val="0"/>
          <w:sz w:val="14"/>
          <w:szCs w:val="14"/>
        </w:rPr>
        <w:t>, 900 Salem Street, Smithfield, RI 02917</w:t>
      </w:r>
    </w:p>
    <w:p w14:paraId="11FF6620" w14:textId="77777777" w:rsidR="00D14319" w:rsidRDefault="00D14319" w:rsidP="00D143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4"/>
          <w:szCs w:val="14"/>
        </w:rPr>
      </w:pPr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© 2026 FMR LLC. Todos </w:t>
      </w: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los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 xml:space="preserve"> derechos </w:t>
      </w:r>
      <w:proofErr w:type="spellStart"/>
      <w:r>
        <w:rPr>
          <w:rFonts w:ascii="ArialMT" w:hAnsi="ArialMT" w:cs="ArialMT"/>
          <w:color w:val="000000"/>
          <w:kern w:val="0"/>
          <w:sz w:val="14"/>
          <w:szCs w:val="14"/>
        </w:rPr>
        <w:t>reservados</w:t>
      </w:r>
      <w:proofErr w:type="spellEnd"/>
      <w:r>
        <w:rPr>
          <w:rFonts w:ascii="ArialMT" w:hAnsi="ArialMT" w:cs="ArialMT"/>
          <w:color w:val="000000"/>
          <w:kern w:val="0"/>
          <w:sz w:val="14"/>
          <w:szCs w:val="14"/>
        </w:rPr>
        <w:t>.</w:t>
      </w:r>
    </w:p>
    <w:p w14:paraId="22ADB638" w14:textId="0DFD9F9D" w:rsidR="00D14319" w:rsidRDefault="00D14319" w:rsidP="00D14319">
      <w:r>
        <w:rPr>
          <w:rFonts w:ascii="ArialMT" w:hAnsi="ArialMT" w:cs="ArialMT"/>
          <w:color w:val="000000"/>
          <w:kern w:val="0"/>
          <w:sz w:val="14"/>
          <w:szCs w:val="14"/>
        </w:rPr>
        <w:t>1271073.2.0</w:t>
      </w:r>
    </w:p>
    <w:sectPr w:rsidR="00D14319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6535" w14:textId="77777777" w:rsidR="00A11131" w:rsidRDefault="00A11131" w:rsidP="00D14319">
      <w:pPr>
        <w:spacing w:after="0" w:line="240" w:lineRule="auto"/>
      </w:pPr>
      <w:r>
        <w:separator/>
      </w:r>
    </w:p>
  </w:endnote>
  <w:endnote w:type="continuationSeparator" w:id="0">
    <w:p w14:paraId="5DC79024" w14:textId="77777777" w:rsidR="00A11131" w:rsidRDefault="00A11131" w:rsidP="00D14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820B6" w14:textId="77777777" w:rsidR="00D14319" w:rsidRDefault="00D14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AA71" w14:textId="77777777" w:rsidR="00D14319" w:rsidRDefault="00D14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DD26F" w14:textId="77777777" w:rsidR="00D14319" w:rsidRDefault="00D14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2302" w14:textId="77777777" w:rsidR="00A11131" w:rsidRDefault="00A11131" w:rsidP="00D14319">
      <w:pPr>
        <w:spacing w:after="0" w:line="240" w:lineRule="auto"/>
      </w:pPr>
      <w:r>
        <w:separator/>
      </w:r>
    </w:p>
  </w:footnote>
  <w:footnote w:type="continuationSeparator" w:id="0">
    <w:p w14:paraId="3B1D36C5" w14:textId="77777777" w:rsidR="00A11131" w:rsidRDefault="00A11131" w:rsidP="00D14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319"/>
    <w:rsid w:val="00130DAA"/>
    <w:rsid w:val="00251424"/>
    <w:rsid w:val="00280C1B"/>
    <w:rsid w:val="007B69AA"/>
    <w:rsid w:val="007C51F6"/>
    <w:rsid w:val="009E6AF8"/>
    <w:rsid w:val="00A11131"/>
    <w:rsid w:val="00D14319"/>
    <w:rsid w:val="00E45C23"/>
    <w:rsid w:val="00E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582C"/>
  <w15:chartTrackingRefBased/>
  <w15:docId w15:val="{29C3B76F-F8BD-49FF-A236-2156B7E6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3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43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31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14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www.sipc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b.fidelity.com/public/nb/default/home?option=ledetail&amp;Target=cours000000000099382&amp;ccsourcecode=wi_newsletter_hhm2026sp_webinar_n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D0C3A6-9824-4D07-A65B-27D5774B7FE2}"/>
</file>

<file path=customXml/itemProps2.xml><?xml version="1.0" encoding="utf-8"?>
<ds:datastoreItem xmlns:ds="http://schemas.openxmlformats.org/officeDocument/2006/customXml" ds:itemID="{0D9A21CD-981B-4BC5-8331-585B7D082BB8}"/>
</file>

<file path=customXml/itemProps3.xml><?xml version="1.0" encoding="utf-8"?>
<ds:datastoreItem xmlns:ds="http://schemas.openxmlformats.org/officeDocument/2006/customXml" ds:itemID="{E813F650-717C-492A-BFAE-CB1AF46120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120</Words>
  <Characters>686</Characters>
  <Application>Microsoft Office Word</Application>
  <DocSecurity>0</DocSecurity>
  <Lines>5</Lines>
  <Paragraphs>1</Paragraphs>
  <ScaleCrop>false</ScaleCrop>
  <Company>Fidelity Investments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Doiley, Pelenge</dc:creator>
  <cp:keywords/>
  <dc:description/>
  <cp:lastModifiedBy>Doiley, Pelenge</cp:lastModifiedBy>
  <cp:revision>2</cp:revision>
  <dcterms:created xsi:type="dcterms:W3CDTF">2026-07-31T20:33:00Z</dcterms:created>
  <dcterms:modified xsi:type="dcterms:W3CDTF">2026-07-31T21:01:00Z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b2c423-eb5a-467c-866f-c54b6721c0c4_Enabled">
    <vt:lpwstr>true</vt:lpwstr>
  </property>
  <property fmtid="{D5CDD505-2E9C-101B-9397-08002B2CF9AE}" pid="3" name="MSIP_Label_03b2c423-eb5a-467c-866f-c54b6721c0c4_SetDate">
    <vt:lpwstr>2026-07-31T20:43:09Z</vt:lpwstr>
  </property>
  <property fmtid="{D5CDD505-2E9C-101B-9397-08002B2CF9AE}" pid="4" name="MSIP_Label_03b2c423-eb5a-467c-866f-c54b6721c0c4_Method">
    <vt:lpwstr>Privileged</vt:lpwstr>
  </property>
  <property fmtid="{D5CDD505-2E9C-101B-9397-08002B2CF9AE}" pid="5" name="MSIP_Label_03b2c423-eb5a-467c-866f-c54b6721c0c4_Name">
    <vt:lpwstr>Fidelity Internal</vt:lpwstr>
  </property>
  <property fmtid="{D5CDD505-2E9C-101B-9397-08002B2CF9AE}" pid="6" name="MSIP_Label_03b2c423-eb5a-467c-866f-c54b6721c0c4_SiteId">
    <vt:lpwstr>7521acbc-a68c-41e5-a975-1cf83066dd19</vt:lpwstr>
  </property>
  <property fmtid="{D5CDD505-2E9C-101B-9397-08002B2CF9AE}" pid="7" name="MSIP_Label_03b2c423-eb5a-467c-866f-c54b6721c0c4_ActionId">
    <vt:lpwstr>1a1d7072-675e-4a8b-a6ec-32d9fff0860c</vt:lpwstr>
  </property>
  <property fmtid="{D5CDD505-2E9C-101B-9397-08002B2CF9AE}" pid="8" name="MSIP_Label_03b2c423-eb5a-467c-866f-c54b6721c0c4_ContentBits">
    <vt:lpwstr>2</vt:lpwstr>
  </property>
  <property fmtid="{D5CDD505-2E9C-101B-9397-08002B2CF9AE}" pid="9" name="MSIP_Label_03b2c423-eb5a-467c-866f-c54b6721c0c4_Tag">
    <vt:lpwstr>10, 0, 1, 1</vt:lpwstr>
  </property>
  <property fmtid="{D5CDD505-2E9C-101B-9397-08002B2CF9AE}" pid="10" name="ContentTypeId">
    <vt:lpwstr>0x010100C96BF498541A2F48A5753F7F6C7052A7</vt:lpwstr>
  </property>
</Properties>
</file>